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E2D" w:rsidRPr="00FA61F6" w:rsidRDefault="00FA61F6" w:rsidP="00524E2D">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lang w:val="en-US"/>
        </w:rPr>
        <w:t>C</w:t>
      </w:r>
      <w:proofErr w:type="spellStart"/>
      <w:r>
        <w:rPr>
          <w:rFonts w:ascii="Times New Roman" w:hAnsi="Times New Roman" w:cs="Times New Roman"/>
          <w:sz w:val="28"/>
          <w:szCs w:val="28"/>
        </w:rPr>
        <w:t>мешение</w:t>
      </w:r>
      <w:proofErr w:type="spellEnd"/>
      <w:r>
        <w:rPr>
          <w:rFonts w:ascii="Times New Roman" w:hAnsi="Times New Roman" w:cs="Times New Roman"/>
          <w:sz w:val="28"/>
          <w:szCs w:val="28"/>
        </w:rPr>
        <w:t xml:space="preserve"> нефтепродуктов</w:t>
      </w:r>
    </w:p>
    <w:p w:rsidR="00577853" w:rsidRPr="00577853" w:rsidRDefault="00577853" w:rsidP="003A7E84">
      <w:pPr>
        <w:autoSpaceDE w:val="0"/>
        <w:autoSpaceDN w:val="0"/>
        <w:adjustRightInd w:val="0"/>
        <w:spacing w:before="220" w:after="0" w:line="240" w:lineRule="auto"/>
        <w:ind w:firstLine="540"/>
        <w:jc w:val="both"/>
        <w:rPr>
          <w:rFonts w:ascii="Times New Roman" w:hAnsi="Times New Roman" w:cs="Times New Roman"/>
          <w:sz w:val="28"/>
          <w:szCs w:val="28"/>
        </w:rPr>
      </w:pPr>
      <w:proofErr w:type="gramStart"/>
      <w:r w:rsidRPr="00577853">
        <w:rPr>
          <w:rFonts w:ascii="Times New Roman" w:hAnsi="Times New Roman" w:cs="Times New Roman"/>
          <w:sz w:val="28"/>
          <w:szCs w:val="28"/>
        </w:rPr>
        <w:t>Согласно пункту 3 статьи 182 Кодекса в целях исчисления акцизов к производству приравниваются любые виды смешения товаров в местах их хранения и реализации (за исключением организаций общественного питания), в результате которого получается подакцизный товар, в отношении которого статьей 193 Кодекса установлена ставка акциза в размере, превышающем ставки акциза на товары, использованные в качестве сырья (материала).</w:t>
      </w:r>
      <w:bookmarkStart w:id="0" w:name="_GoBack"/>
      <w:bookmarkEnd w:id="0"/>
      <w:proofErr w:type="gramEnd"/>
    </w:p>
    <w:p w:rsidR="00052C06" w:rsidRDefault="00052C06" w:rsidP="003A7E84">
      <w:pPr>
        <w:autoSpaceDE w:val="0"/>
        <w:autoSpaceDN w:val="0"/>
        <w:adjustRightInd w:val="0"/>
        <w:spacing w:before="220" w:after="0" w:line="240" w:lineRule="auto"/>
        <w:ind w:firstLine="540"/>
        <w:jc w:val="both"/>
        <w:rPr>
          <w:rFonts w:ascii="Times New Roman" w:hAnsi="Times New Roman" w:cs="Times New Roman"/>
          <w:sz w:val="28"/>
          <w:szCs w:val="28"/>
        </w:rPr>
      </w:pPr>
      <w:proofErr w:type="gramStart"/>
      <w:r w:rsidRPr="00AF28AD">
        <w:rPr>
          <w:rFonts w:ascii="Times New Roman" w:hAnsi="Times New Roman" w:cs="Times New Roman"/>
          <w:b/>
          <w:i/>
          <w:sz w:val="28"/>
          <w:szCs w:val="28"/>
        </w:rPr>
        <w:t>Пункт 12а раздела "Общие понятия" ГОСТ 26098-84 производство нефтепродуктов определяет как совокупность технологических операций</w:t>
      </w:r>
      <w:r w:rsidRPr="00052C06">
        <w:rPr>
          <w:rFonts w:ascii="Times New Roman" w:hAnsi="Times New Roman" w:cs="Times New Roman"/>
          <w:sz w:val="28"/>
          <w:szCs w:val="28"/>
        </w:rPr>
        <w:t xml:space="preserve">, технологического оборудования, а также систем обеспечения их функционирования (технического обслуживания и ремонта, метрологического обеспечения и т.п.), предназначенных для изготовления нефтепродуктов, соответствующих требованиям стандартов или технических условий, любыми способами, </w:t>
      </w:r>
      <w:r w:rsidRPr="00AF28AD">
        <w:rPr>
          <w:rFonts w:ascii="Times New Roman" w:hAnsi="Times New Roman" w:cs="Times New Roman"/>
          <w:b/>
          <w:sz w:val="28"/>
          <w:szCs w:val="28"/>
        </w:rPr>
        <w:t>в том числе смешением двух или более марок нефтепродуктов</w:t>
      </w:r>
      <w:r w:rsidRPr="00052C06">
        <w:rPr>
          <w:rFonts w:ascii="Times New Roman" w:hAnsi="Times New Roman" w:cs="Times New Roman"/>
          <w:sz w:val="28"/>
          <w:szCs w:val="28"/>
        </w:rPr>
        <w:t>.</w:t>
      </w:r>
      <w:proofErr w:type="gramEnd"/>
    </w:p>
    <w:p w:rsidR="003A7E84" w:rsidRPr="00E3639F" w:rsidRDefault="003A7E84" w:rsidP="003A7E84">
      <w:pPr>
        <w:autoSpaceDE w:val="0"/>
        <w:autoSpaceDN w:val="0"/>
        <w:adjustRightInd w:val="0"/>
        <w:spacing w:before="220" w:after="0" w:line="240" w:lineRule="auto"/>
        <w:ind w:firstLine="540"/>
        <w:jc w:val="both"/>
        <w:rPr>
          <w:rFonts w:ascii="Times New Roman" w:hAnsi="Times New Roman" w:cs="Times New Roman"/>
          <w:sz w:val="28"/>
          <w:szCs w:val="28"/>
        </w:rPr>
      </w:pPr>
      <w:r w:rsidRPr="00AF28AD">
        <w:rPr>
          <w:rFonts w:ascii="Times New Roman" w:hAnsi="Times New Roman" w:cs="Times New Roman"/>
          <w:i/>
          <w:sz w:val="28"/>
          <w:szCs w:val="28"/>
        </w:rPr>
        <w:t>Если организацией получен подакцизный товар путем смешения нескольких компонентов</w:t>
      </w:r>
      <w:r w:rsidRPr="00AF28AD">
        <w:rPr>
          <w:rFonts w:ascii="Times New Roman" w:hAnsi="Times New Roman" w:cs="Times New Roman"/>
          <w:b/>
          <w:sz w:val="28"/>
          <w:szCs w:val="28"/>
        </w:rPr>
        <w:t xml:space="preserve">, то в целях исчисления акцизов под произведенным объемом этого подакцизного товара следует понимать ту часть объема смеси, которая отвечает требованиям </w:t>
      </w:r>
      <w:hyperlink r:id="rId5" w:history="1">
        <w:r w:rsidRPr="00AF28AD">
          <w:rPr>
            <w:rFonts w:ascii="Times New Roman" w:hAnsi="Times New Roman" w:cs="Times New Roman"/>
            <w:b/>
            <w:color w:val="0000FF"/>
            <w:sz w:val="28"/>
            <w:szCs w:val="28"/>
          </w:rPr>
          <w:t>пункта 3 статьи 182</w:t>
        </w:r>
      </w:hyperlink>
      <w:r w:rsidRPr="00AF28AD">
        <w:rPr>
          <w:rFonts w:ascii="Times New Roman" w:hAnsi="Times New Roman" w:cs="Times New Roman"/>
          <w:b/>
          <w:sz w:val="28"/>
          <w:szCs w:val="28"/>
        </w:rPr>
        <w:t xml:space="preserve"> Кодекса</w:t>
      </w:r>
      <w:r w:rsidRPr="00E3639F">
        <w:rPr>
          <w:rFonts w:ascii="Times New Roman" w:hAnsi="Times New Roman" w:cs="Times New Roman"/>
          <w:sz w:val="28"/>
          <w:szCs w:val="28"/>
        </w:rPr>
        <w:t xml:space="preserve">. </w:t>
      </w:r>
      <w:r w:rsidRPr="00AF28AD">
        <w:rPr>
          <w:rFonts w:ascii="Times New Roman" w:hAnsi="Times New Roman" w:cs="Times New Roman"/>
          <w:i/>
          <w:sz w:val="28"/>
          <w:szCs w:val="28"/>
        </w:rPr>
        <w:t>При смешении объемы компонентов со ставкой акциза ниже, чем ставка акциза на изготовленный конечный продукт, приобретают его физико-химические, потребительские свойства и увеличивают в своей части произведенный объем.</w:t>
      </w:r>
      <w:r w:rsidRPr="00E3639F">
        <w:rPr>
          <w:rFonts w:ascii="Times New Roman" w:hAnsi="Times New Roman" w:cs="Times New Roman"/>
          <w:sz w:val="28"/>
          <w:szCs w:val="28"/>
        </w:rPr>
        <w:t xml:space="preserve"> Аналогичный процесс происходит с объемами компонентов из числа </w:t>
      </w:r>
      <w:proofErr w:type="spellStart"/>
      <w:r w:rsidRPr="00E3639F">
        <w:rPr>
          <w:rFonts w:ascii="Times New Roman" w:hAnsi="Times New Roman" w:cs="Times New Roman"/>
          <w:sz w:val="28"/>
          <w:szCs w:val="28"/>
        </w:rPr>
        <w:t>неподакцизных</w:t>
      </w:r>
      <w:proofErr w:type="spellEnd"/>
      <w:r w:rsidRPr="00E3639F">
        <w:rPr>
          <w:rFonts w:ascii="Times New Roman" w:hAnsi="Times New Roman" w:cs="Times New Roman"/>
          <w:sz w:val="28"/>
          <w:szCs w:val="28"/>
        </w:rPr>
        <w:t xml:space="preserve"> товаров, на которые ставки акциза отсутствуют.</w:t>
      </w:r>
    </w:p>
    <w:p w:rsidR="00052C06" w:rsidRDefault="00052C06" w:rsidP="00052C06">
      <w:pPr>
        <w:autoSpaceDE w:val="0"/>
        <w:autoSpaceDN w:val="0"/>
        <w:adjustRightInd w:val="0"/>
        <w:spacing w:before="220" w:after="0" w:line="240" w:lineRule="auto"/>
        <w:ind w:firstLine="540"/>
        <w:jc w:val="both"/>
        <w:rPr>
          <w:rFonts w:ascii="Times New Roman" w:hAnsi="Times New Roman" w:cs="Times New Roman"/>
          <w:sz w:val="28"/>
          <w:szCs w:val="28"/>
        </w:rPr>
      </w:pPr>
      <w:r w:rsidRPr="00052C06">
        <w:rPr>
          <w:rFonts w:ascii="Times New Roman" w:hAnsi="Times New Roman" w:cs="Times New Roman"/>
          <w:sz w:val="28"/>
          <w:szCs w:val="28"/>
        </w:rPr>
        <w:tab/>
      </w:r>
      <w:proofErr w:type="gramStart"/>
      <w:r w:rsidRPr="00052C06">
        <w:rPr>
          <w:rFonts w:ascii="Times New Roman" w:hAnsi="Times New Roman" w:cs="Times New Roman"/>
          <w:sz w:val="28"/>
          <w:szCs w:val="28"/>
        </w:rPr>
        <w:t>Перечень подакцизных товаров, реализация (передача) которых является объектом налогообложения акцизами, установлен в пункте 1 статьи 181 НК РФ и включает дизельное топливо (подпункт 8), средние дистилляты (подпункт 11), авиационный керосин (подпункт 13), нефтяное сырье, представляющее собой смесь углеводородов, состоящую из одного или нескольких компонентов (нефть, газовый конденсат стабильный, вакуумный газойль, гудрон, мазут) (подпункт 13).</w:t>
      </w:r>
      <w:proofErr w:type="gramEnd"/>
    </w:p>
    <w:p w:rsidR="00673EA1" w:rsidRDefault="009E529E" w:rsidP="00673EA1">
      <w:pPr>
        <w:autoSpaceDE w:val="0"/>
        <w:autoSpaceDN w:val="0"/>
        <w:adjustRightInd w:val="0"/>
        <w:spacing w:after="0" w:line="240" w:lineRule="auto"/>
        <w:ind w:firstLine="540"/>
        <w:jc w:val="both"/>
        <w:rPr>
          <w:rFonts w:ascii="Times New Roman" w:hAnsi="Times New Roman" w:cs="Times New Roman"/>
          <w:b/>
          <w:bCs/>
          <w:i/>
          <w:iCs/>
          <w:sz w:val="28"/>
          <w:szCs w:val="28"/>
        </w:rPr>
      </w:pPr>
      <w:r>
        <w:rPr>
          <w:rFonts w:ascii="Times New Roman" w:hAnsi="Times New Roman" w:cs="Times New Roman"/>
          <w:b/>
          <w:bCs/>
          <w:i/>
          <w:iCs/>
          <w:sz w:val="28"/>
          <w:szCs w:val="28"/>
        </w:rPr>
        <w:t>В 2020 году Минфином России даны разъяснения налогоплательщикам о признании операций смешения объектом налогообложения акцизом:</w:t>
      </w:r>
    </w:p>
    <w:p w:rsidR="00673EA1" w:rsidRDefault="00673EA1" w:rsidP="00673EA1">
      <w:pPr>
        <w:autoSpaceDE w:val="0"/>
        <w:autoSpaceDN w:val="0"/>
        <w:adjustRightInd w:val="0"/>
        <w:spacing w:after="0" w:line="240" w:lineRule="auto"/>
        <w:ind w:firstLine="540"/>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 </w:t>
      </w:r>
      <w:hyperlink r:id="rId6" w:history="1">
        <w:r>
          <w:rPr>
            <w:rFonts w:ascii="Times New Roman" w:hAnsi="Times New Roman" w:cs="Times New Roman"/>
            <w:b/>
            <w:bCs/>
            <w:i/>
            <w:iCs/>
            <w:color w:val="0000FF"/>
            <w:sz w:val="28"/>
            <w:szCs w:val="28"/>
          </w:rPr>
          <w:t>Письмом</w:t>
        </w:r>
      </w:hyperlink>
      <w:r>
        <w:rPr>
          <w:rFonts w:ascii="Times New Roman" w:hAnsi="Times New Roman" w:cs="Times New Roman"/>
          <w:b/>
          <w:bCs/>
          <w:i/>
          <w:iCs/>
          <w:sz w:val="28"/>
          <w:szCs w:val="28"/>
        </w:rPr>
        <w:t xml:space="preserve"> Минфина России от 11.03.2020 N 03-13-12/19201 - о смешении мазута и дизельного топлива, в результате которого был получен новый продукт - судовое топливо;</w:t>
      </w:r>
    </w:p>
    <w:p w:rsidR="00673EA1" w:rsidRDefault="00673EA1" w:rsidP="00673EA1">
      <w:pPr>
        <w:autoSpaceDE w:val="0"/>
        <w:autoSpaceDN w:val="0"/>
        <w:adjustRightInd w:val="0"/>
        <w:spacing w:before="280" w:after="0" w:line="240" w:lineRule="auto"/>
        <w:ind w:firstLine="540"/>
        <w:jc w:val="both"/>
        <w:rPr>
          <w:rFonts w:ascii="Times New Roman" w:hAnsi="Times New Roman" w:cs="Times New Roman"/>
          <w:b/>
          <w:bCs/>
          <w:i/>
          <w:iCs/>
          <w:sz w:val="28"/>
          <w:szCs w:val="28"/>
        </w:rPr>
      </w:pPr>
      <w:r>
        <w:rPr>
          <w:rFonts w:ascii="Times New Roman" w:hAnsi="Times New Roman" w:cs="Times New Roman"/>
          <w:b/>
          <w:bCs/>
          <w:i/>
          <w:iCs/>
          <w:sz w:val="28"/>
          <w:szCs w:val="28"/>
        </w:rPr>
        <w:lastRenderedPageBreak/>
        <w:t xml:space="preserve">- </w:t>
      </w:r>
      <w:hyperlink r:id="rId7" w:history="1">
        <w:r>
          <w:rPr>
            <w:rFonts w:ascii="Times New Roman" w:hAnsi="Times New Roman" w:cs="Times New Roman"/>
            <w:b/>
            <w:bCs/>
            <w:i/>
            <w:iCs/>
            <w:color w:val="0000FF"/>
            <w:sz w:val="28"/>
            <w:szCs w:val="28"/>
          </w:rPr>
          <w:t>Письмом</w:t>
        </w:r>
      </w:hyperlink>
      <w:r>
        <w:rPr>
          <w:rFonts w:ascii="Times New Roman" w:hAnsi="Times New Roman" w:cs="Times New Roman"/>
          <w:b/>
          <w:bCs/>
          <w:i/>
          <w:iCs/>
          <w:sz w:val="28"/>
          <w:szCs w:val="28"/>
        </w:rPr>
        <w:t xml:space="preserve"> Минфина России от 11.08.2020 N 03-13-08/70101 - о смешении дизельного топлива и авиационного керосина, в результате которого получен также новый продукт.</w:t>
      </w:r>
    </w:p>
    <w:p w:rsidR="00673EA1" w:rsidRPr="00673EA1" w:rsidRDefault="00524E2D" w:rsidP="00524E2D">
      <w:pPr>
        <w:autoSpaceDE w:val="0"/>
        <w:autoSpaceDN w:val="0"/>
        <w:adjustRightInd w:val="0"/>
        <w:spacing w:before="220" w:after="0" w:line="240" w:lineRule="auto"/>
        <w:ind w:firstLine="540"/>
        <w:jc w:val="both"/>
        <w:rPr>
          <w:rFonts w:ascii="Times New Roman" w:hAnsi="Times New Roman" w:cs="Times New Roman"/>
          <w:b/>
          <w:i/>
          <w:sz w:val="28"/>
          <w:szCs w:val="28"/>
        </w:rPr>
      </w:pPr>
      <w:proofErr w:type="gramStart"/>
      <w:r w:rsidRPr="00524E2D">
        <w:rPr>
          <w:rFonts w:ascii="Times New Roman" w:hAnsi="Times New Roman" w:cs="Times New Roman"/>
          <w:b/>
          <w:i/>
          <w:sz w:val="28"/>
          <w:szCs w:val="28"/>
        </w:rPr>
        <w:t>Такие разъяснения были предметом рассмотрения их Верховным Судом Российской Федерации, который в решении от 27 июля 2021 г. N АКПИ21-416 пришел к выводу о том, что воспроизведенные в разъяснениях конкретные нормы Кодекса и сопутствующая им интерпретация соответствуют действительному смыслу разъясняемых нормативных положений и не устанавливают предусмотренные разъясняемыми нормативными положениями общеобязательные правила.</w:t>
      </w:r>
      <w:proofErr w:type="gramEnd"/>
    </w:p>
    <w:sectPr w:rsidR="00673EA1" w:rsidRPr="00673EA1" w:rsidSect="0067577E">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E84"/>
    <w:rsid w:val="00052C06"/>
    <w:rsid w:val="003A7E84"/>
    <w:rsid w:val="00524E2D"/>
    <w:rsid w:val="00577853"/>
    <w:rsid w:val="00673EA1"/>
    <w:rsid w:val="007B6E3A"/>
    <w:rsid w:val="008A18C4"/>
    <w:rsid w:val="009E529E"/>
    <w:rsid w:val="00AF28AD"/>
    <w:rsid w:val="00CF652F"/>
    <w:rsid w:val="00E3639F"/>
    <w:rsid w:val="00FA61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7C1ACF0CA3EC8CDE8F8D15E9C5D31EF0A5E290320210F09F2FDBA0973BD8AF7DA2680238D90E17058BB93A230D18CB02D9EBBADF7166B72078F8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7C1ACF0CA3EC8CDE8F8D08FDD7BB24F6F8E992300616FFCE78D9F1C235DDA72DEA785E7D8C0315009CB36F6C4B4DC470F2G" TargetMode="External"/><Relationship Id="rId5" Type="http://schemas.openxmlformats.org/officeDocument/2006/relationships/hyperlink" Target="consultantplus://offline/ref=8D0D47D8CE243289D5423557DE7D054CF2FA79B1132AA44D65CB7086FD1250B38B8B0AFF1678424D7688A33C833FC41004ED607E2416i7p6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495</Words>
  <Characters>2826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Близнюк Елена Владимировна</dc:creator>
  <cp:lastModifiedBy>Близнюк Елена Владимировна</cp:lastModifiedBy>
  <cp:revision>9</cp:revision>
  <dcterms:created xsi:type="dcterms:W3CDTF">2022-11-03T08:40:00Z</dcterms:created>
  <dcterms:modified xsi:type="dcterms:W3CDTF">2022-11-28T08:30:00Z</dcterms:modified>
</cp:coreProperties>
</file>